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64398" w14:textId="77777777" w:rsidR="0030410E" w:rsidRDefault="008C0056">
      <w:pPr>
        <w:spacing w:before="84"/>
        <w:ind w:left="3491" w:right="3906"/>
        <w:jc w:val="center"/>
        <w:rPr>
          <w:b/>
          <w:sz w:val="20"/>
        </w:rPr>
      </w:pPr>
      <w:r>
        <w:rPr>
          <w:b/>
          <w:sz w:val="20"/>
        </w:rPr>
        <w:t>Italy-Turin: Meters 2023/S 062-185319</w:t>
      </w:r>
    </w:p>
    <w:p w14:paraId="7D4BE1F3" w14:textId="77777777" w:rsidR="0030410E" w:rsidRDefault="0030410E">
      <w:pPr>
        <w:pStyle w:val="Corpotesto"/>
        <w:spacing w:before="1"/>
        <w:rPr>
          <w:b/>
        </w:rPr>
      </w:pPr>
    </w:p>
    <w:p w14:paraId="63282F45" w14:textId="77777777" w:rsidR="0030410E" w:rsidRDefault="008C0056">
      <w:pPr>
        <w:spacing w:before="1"/>
        <w:ind w:left="1531"/>
        <w:rPr>
          <w:b/>
          <w:sz w:val="20"/>
        </w:rPr>
      </w:pPr>
      <w:r>
        <w:rPr>
          <w:b/>
          <w:sz w:val="20"/>
        </w:rPr>
        <w:t>Annex to the Qualification System – Public Utility Services</w:t>
      </w:r>
    </w:p>
    <w:p w14:paraId="17AA5DFC" w14:textId="77777777" w:rsidR="0030410E" w:rsidRDefault="0030410E">
      <w:pPr>
        <w:pStyle w:val="Corpotesto"/>
        <w:rPr>
          <w:b/>
          <w:sz w:val="22"/>
        </w:rPr>
      </w:pPr>
    </w:p>
    <w:p w14:paraId="7DE43FF2" w14:textId="77777777" w:rsidR="0030410E" w:rsidRDefault="0030410E">
      <w:pPr>
        <w:pStyle w:val="Corpotesto"/>
        <w:spacing w:before="8"/>
        <w:rPr>
          <w:b/>
          <w:sz w:val="17"/>
        </w:rPr>
      </w:pPr>
    </w:p>
    <w:p w14:paraId="387617FB" w14:textId="77777777" w:rsidR="0030410E" w:rsidRDefault="008C0056">
      <w:pPr>
        <w:ind w:left="246"/>
        <w:jc w:val="both"/>
        <w:rPr>
          <w:b/>
          <w:sz w:val="20"/>
        </w:rPr>
      </w:pPr>
      <w:r>
        <w:rPr>
          <w:b/>
          <w:sz w:val="20"/>
        </w:rPr>
        <w:t>II.2.4) Contract description</w:t>
      </w:r>
    </w:p>
    <w:p w14:paraId="2582D5C5" w14:textId="77777777" w:rsidR="0030410E" w:rsidRDefault="0030410E">
      <w:pPr>
        <w:pStyle w:val="Corpotesto"/>
        <w:spacing w:before="1"/>
        <w:rPr>
          <w:b/>
          <w:sz w:val="21"/>
        </w:rPr>
      </w:pPr>
    </w:p>
    <w:p w14:paraId="274FBB63" w14:textId="77777777" w:rsidR="0030410E" w:rsidRDefault="008C0056">
      <w:pPr>
        <w:pStyle w:val="Corpotesto"/>
        <w:spacing w:line="259" w:lineRule="auto"/>
        <w:ind w:left="246" w:right="100" w:hanging="1"/>
        <w:jc w:val="both"/>
      </w:pPr>
      <w:r>
        <w:t>This notice concerns the G4 to G25 class “smart compact” meter units.</w:t>
      </w:r>
    </w:p>
    <w:p w14:paraId="38D4901E" w14:textId="5F8E9551" w:rsidR="0030410E" w:rsidRDefault="008C0056">
      <w:pPr>
        <w:pStyle w:val="Corpotesto"/>
        <w:ind w:left="245"/>
        <w:jc w:val="both"/>
      </w:pPr>
      <w:r>
        <w:t>(See Goods Category BB08AD18 - SMART GAS METER)</w:t>
      </w:r>
    </w:p>
    <w:p w14:paraId="4DA9AFDB" w14:textId="77777777" w:rsidR="0030410E" w:rsidRDefault="0030410E">
      <w:pPr>
        <w:pStyle w:val="Corpotesto"/>
        <w:rPr>
          <w:sz w:val="22"/>
        </w:rPr>
      </w:pPr>
    </w:p>
    <w:p w14:paraId="01CC400D" w14:textId="77777777" w:rsidR="0030410E" w:rsidRDefault="0030410E">
      <w:pPr>
        <w:pStyle w:val="Corpotesto"/>
        <w:spacing w:before="5"/>
        <w:rPr>
          <w:sz w:val="22"/>
        </w:rPr>
      </w:pPr>
    </w:p>
    <w:p w14:paraId="13C1DDE2" w14:textId="77777777" w:rsidR="0030410E" w:rsidRDefault="008C0056">
      <w:pPr>
        <w:spacing w:line="259" w:lineRule="auto"/>
        <w:ind w:left="246" w:right="101" w:hanging="1"/>
        <w:jc w:val="both"/>
        <w:rPr>
          <w:b/>
          <w:sz w:val="20"/>
        </w:rPr>
      </w:pPr>
      <w:r>
        <w:rPr>
          <w:b/>
          <w:sz w:val="20"/>
        </w:rPr>
        <w:t>II.3) Description of the works, services or supplies to be procured through the qualification system:</w:t>
      </w:r>
    </w:p>
    <w:p w14:paraId="0F69F28F" w14:textId="77777777" w:rsidR="0030410E" w:rsidRDefault="008C0056">
      <w:pPr>
        <w:pStyle w:val="Corpotesto"/>
        <w:spacing w:line="259" w:lineRule="auto"/>
        <w:ind w:left="246" w:right="100" w:hanging="1"/>
        <w:jc w:val="both"/>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6E8B1F0E" w14:textId="77777777" w:rsidR="0030410E" w:rsidRDefault="008C0056">
      <w:pPr>
        <w:pStyle w:val="Corpotesto"/>
        <w:spacing w:before="1" w:line="259" w:lineRule="auto"/>
        <w:ind w:left="246" w:right="100" w:hanging="1"/>
        <w:jc w:val="both"/>
      </w:pPr>
      <w:r>
        <w:t>Qualification as a Permanent Grouping of Companies requires the positive assessment of the individual suppliers associated and compliance with the provisions of the Contracts Code.</w:t>
      </w:r>
    </w:p>
    <w:p w14:paraId="6A334462" w14:textId="77777777" w:rsidR="0030410E" w:rsidRDefault="0030410E">
      <w:pPr>
        <w:pStyle w:val="Corpotesto"/>
        <w:spacing w:before="11"/>
        <w:rPr>
          <w:sz w:val="27"/>
        </w:rPr>
      </w:pPr>
    </w:p>
    <w:p w14:paraId="4BD35DCF" w14:textId="77777777" w:rsidR="0030410E" w:rsidRDefault="008C0056">
      <w:pPr>
        <w:ind w:left="230"/>
        <w:jc w:val="both"/>
        <w:rPr>
          <w:b/>
          <w:sz w:val="20"/>
        </w:rPr>
      </w:pPr>
      <w:r>
        <w:rPr>
          <w:b/>
          <w:sz w:val="20"/>
          <w:u w:val="thick"/>
        </w:rPr>
        <w:t>Section III: Legal, economic, financial and technical information</w:t>
      </w:r>
    </w:p>
    <w:p w14:paraId="06C2B1DC" w14:textId="77777777" w:rsidR="0030410E" w:rsidRDefault="0030410E">
      <w:pPr>
        <w:pStyle w:val="Corpotesto"/>
        <w:rPr>
          <w:b/>
          <w:sz w:val="27"/>
        </w:rPr>
      </w:pPr>
    </w:p>
    <w:p w14:paraId="762DE85C" w14:textId="77777777" w:rsidR="0030410E" w:rsidRDefault="008C0056">
      <w:pPr>
        <w:pStyle w:val="Paragrafoelenco"/>
        <w:numPr>
          <w:ilvl w:val="1"/>
          <w:numId w:val="2"/>
        </w:numPr>
        <w:tabs>
          <w:tab w:val="left" w:pos="1529"/>
        </w:tabs>
        <w:spacing w:before="101" w:line="240" w:lineRule="auto"/>
        <w:ind w:hanging="1299"/>
        <w:jc w:val="both"/>
        <w:rPr>
          <w:b/>
          <w:sz w:val="20"/>
        </w:rPr>
      </w:pPr>
      <w:r>
        <w:rPr>
          <w:b/>
          <w:sz w:val="20"/>
        </w:rPr>
        <w:t>Participation conditions</w:t>
      </w:r>
    </w:p>
    <w:p w14:paraId="5A380E67" w14:textId="40D602B5" w:rsidR="0030410E" w:rsidRDefault="008C0056">
      <w:pPr>
        <w:pStyle w:val="Corpotesto"/>
        <w:spacing w:before="90" w:line="259" w:lineRule="auto"/>
        <w:ind w:left="241" w:right="101" w:hanging="11"/>
        <w:jc w:val="both"/>
        <w:rPr>
          <w:b/>
        </w:rPr>
      </w:pPr>
      <w:r>
        <w:t>Candidates can view all the conditions for taking part in the suppliers section of the Italgas portal by accessing the following link:</w:t>
      </w:r>
      <w:r w:rsidR="00BD65CA">
        <w:t xml:space="preserve"> </w:t>
      </w:r>
      <w:hyperlink r:id="rId5" w:history="1">
        <w:r w:rsidR="00BD65CA" w:rsidRPr="003B08E6">
          <w:rPr>
            <w:rStyle w:val="Collegamentoipertestuale"/>
            <w:b/>
          </w:rPr>
          <w:t>https://www.italgas.it/fornitori/</w:t>
        </w:r>
      </w:hyperlink>
    </w:p>
    <w:p w14:paraId="338D5E5C" w14:textId="77777777" w:rsidR="0030410E" w:rsidRDefault="0030410E">
      <w:pPr>
        <w:pStyle w:val="Corpotesto"/>
        <w:spacing w:before="1"/>
        <w:rPr>
          <w:b/>
          <w:sz w:val="19"/>
        </w:rPr>
      </w:pPr>
    </w:p>
    <w:p w14:paraId="5169BA33" w14:textId="77777777" w:rsidR="0030410E" w:rsidRDefault="008C0056">
      <w:pPr>
        <w:pStyle w:val="Paragrafoelenco"/>
        <w:numPr>
          <w:ilvl w:val="2"/>
          <w:numId w:val="2"/>
        </w:numPr>
        <w:tabs>
          <w:tab w:val="left" w:pos="1528"/>
          <w:tab w:val="left" w:pos="1529"/>
        </w:tabs>
        <w:spacing w:before="101" w:line="240" w:lineRule="auto"/>
        <w:ind w:hanging="1299"/>
        <w:rPr>
          <w:b/>
          <w:sz w:val="20"/>
        </w:rPr>
      </w:pPr>
      <w:r>
        <w:rPr>
          <w:b/>
          <w:sz w:val="20"/>
        </w:rPr>
        <w:t>Qualification for the system:</w:t>
      </w:r>
    </w:p>
    <w:p w14:paraId="60191B01" w14:textId="77777777" w:rsidR="0030410E" w:rsidRDefault="0030410E">
      <w:pPr>
        <w:pStyle w:val="Corpotesto"/>
        <w:spacing w:before="6"/>
        <w:rPr>
          <w:b/>
          <w:sz w:val="21"/>
        </w:rPr>
      </w:pPr>
    </w:p>
    <w:p w14:paraId="3E2DE575" w14:textId="77777777" w:rsidR="0030410E" w:rsidRDefault="008C0056">
      <w:pPr>
        <w:pStyle w:val="Corpotesto"/>
        <w:ind w:left="254" w:hanging="22"/>
      </w:pPr>
      <w:r>
        <w:t>Candidates must give an affirmative response to the following questions in the Qualification Questionnaire on the Italgas Purchasing Platform.</w:t>
      </w:r>
    </w:p>
    <w:p w14:paraId="01C88928" w14:textId="77777777" w:rsidR="0030410E" w:rsidRDefault="008C0056">
      <w:pPr>
        <w:pStyle w:val="Corpotesto"/>
        <w:spacing w:line="225" w:lineRule="exact"/>
        <w:ind w:left="232"/>
      </w:pPr>
      <w:r>
        <w:t>Candidates must therefore meet the following requirements:</w:t>
      </w:r>
    </w:p>
    <w:p w14:paraId="05427A3C" w14:textId="77777777" w:rsidR="0030410E" w:rsidRDefault="0030410E">
      <w:pPr>
        <w:pStyle w:val="Corpotesto"/>
        <w:rPr>
          <w:sz w:val="22"/>
        </w:rPr>
      </w:pPr>
    </w:p>
    <w:p w14:paraId="6257F3D7" w14:textId="77777777" w:rsidR="0030410E" w:rsidRDefault="0030410E">
      <w:pPr>
        <w:pStyle w:val="Corpotesto"/>
        <w:rPr>
          <w:sz w:val="22"/>
        </w:rPr>
      </w:pPr>
    </w:p>
    <w:p w14:paraId="633257BC" w14:textId="77777777" w:rsidR="0030410E" w:rsidRDefault="008C0056">
      <w:pPr>
        <w:spacing w:before="130"/>
        <w:ind w:left="400"/>
        <w:rPr>
          <w:b/>
          <w:sz w:val="20"/>
        </w:rPr>
      </w:pPr>
      <w:r>
        <w:rPr>
          <w:b/>
          <w:sz w:val="20"/>
        </w:rPr>
        <w:t>- Technical requirements:</w:t>
      </w:r>
    </w:p>
    <w:p w14:paraId="1D5CB3A5" w14:textId="77777777" w:rsidR="0030410E" w:rsidRDefault="0030410E">
      <w:pPr>
        <w:pStyle w:val="Corpotesto"/>
        <w:rPr>
          <w:b/>
        </w:rPr>
      </w:pPr>
    </w:p>
    <w:p w14:paraId="08648D72" w14:textId="77777777" w:rsidR="0030410E" w:rsidRDefault="0030410E">
      <w:pPr>
        <w:pStyle w:val="Corpotesto"/>
        <w:spacing w:before="5" w:after="1"/>
        <w:rPr>
          <w:b/>
          <w:sz w:val="1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7"/>
      </w:tblGrid>
      <w:tr w:rsidR="0030410E" w14:paraId="695A1B5D" w14:textId="77777777">
        <w:trPr>
          <w:trHeight w:val="1175"/>
        </w:trPr>
        <w:tc>
          <w:tcPr>
            <w:tcW w:w="9917" w:type="dxa"/>
          </w:tcPr>
          <w:p w14:paraId="1493135A" w14:textId="7C032D9F" w:rsidR="0030410E" w:rsidRDefault="008C0056">
            <w:pPr>
              <w:pStyle w:val="TableParagraph"/>
              <w:spacing w:before="10" w:line="280" w:lineRule="atLeast"/>
              <w:ind w:right="269"/>
              <w:jc w:val="both"/>
              <w:rPr>
                <w:sz w:val="20"/>
              </w:rPr>
            </w:pPr>
            <w:r>
              <w:rPr>
                <w:sz w:val="20"/>
              </w:rPr>
              <w:t>Ability to guarantee the conformity of the integrated meters with Italian Legislative Decree no. 22 of 2 February 2007, “Implementation of Directive 2004/22/EC relating to measuring instruments” with evidence of the document “EC-Type Examination Certificate”</w:t>
            </w:r>
          </w:p>
        </w:tc>
      </w:tr>
      <w:tr w:rsidR="0030410E" w14:paraId="55E7644C" w14:textId="77777777">
        <w:trPr>
          <w:trHeight w:val="335"/>
        </w:trPr>
        <w:tc>
          <w:tcPr>
            <w:tcW w:w="9917" w:type="dxa"/>
          </w:tcPr>
          <w:p w14:paraId="40D8BD6A" w14:textId="77777777" w:rsidR="0030410E" w:rsidRDefault="008C0056">
            <w:pPr>
              <w:pStyle w:val="TableParagraph"/>
              <w:ind w:left="398" w:firstLine="0"/>
              <w:rPr>
                <w:sz w:val="20"/>
              </w:rPr>
            </w:pPr>
            <w:r>
              <w:rPr>
                <w:sz w:val="20"/>
              </w:rPr>
              <w:t>Provide certificate</w:t>
            </w:r>
          </w:p>
        </w:tc>
      </w:tr>
      <w:tr w:rsidR="0030410E" w14:paraId="70E30A48" w14:textId="77777777">
        <w:trPr>
          <w:trHeight w:val="993"/>
        </w:trPr>
        <w:tc>
          <w:tcPr>
            <w:tcW w:w="9917" w:type="dxa"/>
          </w:tcPr>
          <w:p w14:paraId="28FF9AD1" w14:textId="38BE4FED" w:rsidR="0030410E" w:rsidRDefault="008C0056">
            <w:pPr>
              <w:pStyle w:val="TableParagraph"/>
              <w:spacing w:line="295" w:lineRule="auto"/>
              <w:ind w:right="270"/>
              <w:jc w:val="both"/>
              <w:rPr>
                <w:sz w:val="20"/>
              </w:rPr>
            </w:pPr>
            <w:r>
              <w:rPr>
                <w:sz w:val="20"/>
              </w:rPr>
              <w:t>Ability to guarantee the conformity of the integrated meters with Resolution ARG/gas 631/13 as amended. "Amendments and additions to smart gas meter commissioning obligations"</w:t>
            </w:r>
          </w:p>
        </w:tc>
      </w:tr>
      <w:tr w:rsidR="0030410E" w14:paraId="2ED91458" w14:textId="77777777">
        <w:trPr>
          <w:trHeight w:val="988"/>
        </w:trPr>
        <w:tc>
          <w:tcPr>
            <w:tcW w:w="9917" w:type="dxa"/>
          </w:tcPr>
          <w:p w14:paraId="510E5B80" w14:textId="77777777" w:rsidR="0030410E" w:rsidRDefault="008C0056">
            <w:pPr>
              <w:pStyle w:val="TableParagraph"/>
              <w:ind w:left="398" w:firstLine="0"/>
              <w:rPr>
                <w:sz w:val="20"/>
              </w:rPr>
            </w:pPr>
            <w:r>
              <w:rPr>
                <w:sz w:val="20"/>
              </w:rPr>
              <w:t>Ability to guarantee compliance with UNI TS 11291</w:t>
            </w:r>
          </w:p>
        </w:tc>
      </w:tr>
    </w:tbl>
    <w:p w14:paraId="58EE3B73" w14:textId="77777777" w:rsidR="0030410E" w:rsidRDefault="0030410E">
      <w:pPr>
        <w:rPr>
          <w:sz w:val="20"/>
        </w:rPr>
        <w:sectPr w:rsidR="0030410E">
          <w:type w:val="continuous"/>
          <w:pgSz w:w="11900" w:h="16840"/>
          <w:pgMar w:top="1340" w:right="600" w:bottom="1175"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7"/>
      </w:tblGrid>
      <w:tr w:rsidR="0030410E" w14:paraId="276F2031" w14:textId="77777777">
        <w:trPr>
          <w:trHeight w:val="993"/>
        </w:trPr>
        <w:tc>
          <w:tcPr>
            <w:tcW w:w="9917" w:type="dxa"/>
          </w:tcPr>
          <w:p w14:paraId="466B8F8E" w14:textId="27A040C0" w:rsidR="0030410E" w:rsidRDefault="008C0056">
            <w:pPr>
              <w:pStyle w:val="TableParagraph"/>
              <w:spacing w:line="295" w:lineRule="auto"/>
              <w:ind w:right="269"/>
              <w:jc w:val="both"/>
              <w:rPr>
                <w:sz w:val="20"/>
              </w:rPr>
            </w:pPr>
            <w:r>
              <w:rPr>
                <w:sz w:val="20"/>
              </w:rPr>
              <w:lastRenderedPageBreak/>
              <w:t>Ability to guarantee compliance with the Technical Specification for Supply Assessment and Inspection (S.T.V.F.C.) 2401302 “Meters with remote reading and remote management for methane gas and LPG with maximum capacity between 6 and 60 m</w:t>
            </w:r>
            <w:r>
              <w:rPr>
                <w:sz w:val="20"/>
                <w:vertAlign w:val="superscript"/>
              </w:rPr>
              <w:t>3</w:t>
            </w:r>
            <w:r>
              <w:rPr>
                <w:sz w:val="20"/>
              </w:rPr>
              <w:t>/h (G4-G40)”</w:t>
            </w:r>
          </w:p>
        </w:tc>
      </w:tr>
      <w:tr w:rsidR="0030410E" w14:paraId="4DA2004A" w14:textId="77777777">
        <w:trPr>
          <w:trHeight w:val="988"/>
        </w:trPr>
        <w:tc>
          <w:tcPr>
            <w:tcW w:w="9917" w:type="dxa"/>
          </w:tcPr>
          <w:p w14:paraId="6D32B6F7" w14:textId="77777777" w:rsidR="0030410E" w:rsidRDefault="008C0056">
            <w:pPr>
              <w:pStyle w:val="TableParagraph"/>
              <w:spacing w:line="290" w:lineRule="auto"/>
              <w:rPr>
                <w:sz w:val="20"/>
              </w:rPr>
            </w:pPr>
            <w:r>
              <w:rPr>
                <w:sz w:val="20"/>
              </w:rPr>
              <w:t>Access to stock of at least 100 integrated meters for each class of the range proposed referring to an industrial production process</w:t>
            </w:r>
          </w:p>
        </w:tc>
      </w:tr>
      <w:tr w:rsidR="0030410E" w14:paraId="1005AB5D" w14:textId="77777777">
        <w:trPr>
          <w:trHeight w:val="1732"/>
        </w:trPr>
        <w:tc>
          <w:tcPr>
            <w:tcW w:w="9917" w:type="dxa"/>
          </w:tcPr>
          <w:p w14:paraId="5AF1F9B6" w14:textId="77777777" w:rsidR="0030410E" w:rsidRDefault="008C0056">
            <w:pPr>
              <w:pStyle w:val="TableParagraph"/>
              <w:spacing w:before="10" w:line="280" w:lineRule="atLeast"/>
              <w:ind w:right="266"/>
              <w:jc w:val="both"/>
              <w:rPr>
                <w:sz w:val="20"/>
              </w:rPr>
            </w:pPr>
            <w:r>
              <w:rPr>
                <w:sz w:val="20"/>
              </w:rPr>
              <w:t>Possession of all the tools (hardware and software) for the configuration/reconfiguration of the Metering Unit in order to manage, in accordance with current laws: installation, activation, data transmission, functional verification (in the field), periodic verification (if required) and random checks (in the field and laboratory), ordinary maintenance (in the field)</w:t>
            </w:r>
          </w:p>
        </w:tc>
      </w:tr>
      <w:tr w:rsidR="0030410E" w14:paraId="41380F8C" w14:textId="77777777">
        <w:trPr>
          <w:trHeight w:val="988"/>
        </w:trPr>
        <w:tc>
          <w:tcPr>
            <w:tcW w:w="9917" w:type="dxa"/>
          </w:tcPr>
          <w:p w14:paraId="448BC602" w14:textId="77777777" w:rsidR="0030410E" w:rsidRDefault="008C0056">
            <w:pPr>
              <w:pStyle w:val="TableParagraph"/>
              <w:tabs>
                <w:tab w:val="left" w:pos="1464"/>
                <w:tab w:val="left" w:pos="2530"/>
                <w:tab w:val="left" w:pos="3360"/>
                <w:tab w:val="left" w:pos="4898"/>
                <w:tab w:val="left" w:pos="6436"/>
                <w:tab w:val="left" w:pos="7030"/>
                <w:tab w:val="left" w:pos="8568"/>
                <w:tab w:val="left" w:pos="9398"/>
              </w:tabs>
              <w:spacing w:line="295" w:lineRule="auto"/>
              <w:ind w:right="270"/>
              <w:rPr>
                <w:sz w:val="20"/>
              </w:rPr>
            </w:pPr>
            <w:r>
              <w:rPr>
                <w:sz w:val="20"/>
              </w:rPr>
              <w:t>Possession of all the tools (hardware and software) for the configuration/reconfiguration of the transmitter</w:t>
            </w:r>
          </w:p>
        </w:tc>
      </w:tr>
      <w:tr w:rsidR="0030410E" w14:paraId="42CD090C" w14:textId="77777777">
        <w:trPr>
          <w:trHeight w:val="988"/>
        </w:trPr>
        <w:tc>
          <w:tcPr>
            <w:tcW w:w="9917" w:type="dxa"/>
          </w:tcPr>
          <w:p w14:paraId="1EB93904" w14:textId="77777777" w:rsidR="0030410E" w:rsidRDefault="008C0056">
            <w:pPr>
              <w:pStyle w:val="TableParagraph"/>
              <w:spacing w:line="295" w:lineRule="auto"/>
              <w:ind w:right="270"/>
              <w:rPr>
                <w:sz w:val="20"/>
              </w:rPr>
            </w:pPr>
            <w:r>
              <w:rPr>
                <w:sz w:val="20"/>
              </w:rPr>
              <w:t>Guarantee that the communication protocol can be updated, both in the field and remotely, with no data loss</w:t>
            </w:r>
          </w:p>
        </w:tc>
      </w:tr>
      <w:tr w:rsidR="0030410E" w14:paraId="25EB125B" w14:textId="77777777">
        <w:trPr>
          <w:trHeight w:val="993"/>
        </w:trPr>
        <w:tc>
          <w:tcPr>
            <w:tcW w:w="9917" w:type="dxa"/>
          </w:tcPr>
          <w:p w14:paraId="4EE0ECD9" w14:textId="77777777" w:rsidR="0030410E" w:rsidRDefault="008C0056">
            <w:pPr>
              <w:pStyle w:val="TableParagraph"/>
              <w:spacing w:before="68" w:line="290" w:lineRule="auto"/>
              <w:ind w:right="270"/>
              <w:rPr>
                <w:sz w:val="20"/>
              </w:rPr>
            </w:pPr>
            <w:r>
              <w:rPr>
                <w:sz w:val="20"/>
              </w:rPr>
              <w:t>Willingness to provide all necessary hardware and software tools to the Italgas Group</w:t>
            </w:r>
          </w:p>
        </w:tc>
      </w:tr>
      <w:tr w:rsidR="0030410E" w14:paraId="1FE9900F" w14:textId="77777777">
        <w:trPr>
          <w:trHeight w:val="988"/>
        </w:trPr>
        <w:tc>
          <w:tcPr>
            <w:tcW w:w="9917" w:type="dxa"/>
          </w:tcPr>
          <w:p w14:paraId="462BF883" w14:textId="77777777" w:rsidR="0030410E" w:rsidRDefault="008C0056">
            <w:pPr>
              <w:pStyle w:val="TableParagraph"/>
              <w:spacing w:line="295" w:lineRule="auto"/>
              <w:rPr>
                <w:sz w:val="20"/>
              </w:rPr>
            </w:pPr>
            <w:r>
              <w:rPr>
                <w:sz w:val="20"/>
              </w:rPr>
              <w:t>Ability to supply products according to the characteristics stated in the technical specification attached to the Qualification System</w:t>
            </w:r>
          </w:p>
        </w:tc>
      </w:tr>
      <w:tr w:rsidR="0030410E" w14:paraId="18C2E72A" w14:textId="77777777">
        <w:trPr>
          <w:trHeight w:val="988"/>
        </w:trPr>
        <w:tc>
          <w:tcPr>
            <w:tcW w:w="9917" w:type="dxa"/>
          </w:tcPr>
          <w:p w14:paraId="5E485A73" w14:textId="77777777" w:rsidR="0030410E" w:rsidRDefault="008C0056">
            <w:pPr>
              <w:pStyle w:val="TableParagraph"/>
              <w:spacing w:line="295" w:lineRule="auto"/>
              <w:ind w:right="270"/>
              <w:rPr>
                <w:sz w:val="20"/>
              </w:rPr>
            </w:pPr>
            <w:r>
              <w:rPr>
                <w:sz w:val="20"/>
              </w:rPr>
              <w:t>Provision of list with: customer, year, type of product(s), description of the subcontracted activities, quantity, amount, execution times.</w:t>
            </w:r>
          </w:p>
        </w:tc>
      </w:tr>
      <w:tr w:rsidR="0030410E" w14:paraId="72D111E5" w14:textId="77777777">
        <w:trPr>
          <w:trHeight w:val="993"/>
        </w:trPr>
        <w:tc>
          <w:tcPr>
            <w:tcW w:w="9917" w:type="dxa"/>
          </w:tcPr>
          <w:p w14:paraId="082AF3A1" w14:textId="77777777" w:rsidR="0030410E" w:rsidRDefault="008C0056">
            <w:pPr>
              <w:pStyle w:val="TableParagraph"/>
              <w:spacing w:before="68"/>
              <w:ind w:left="398" w:firstLine="0"/>
              <w:rPr>
                <w:sz w:val="20"/>
              </w:rPr>
            </w:pPr>
            <w:r>
              <w:rPr>
                <w:sz w:val="20"/>
              </w:rPr>
              <w:t>Ability to install and commission the meters</w:t>
            </w:r>
          </w:p>
        </w:tc>
      </w:tr>
      <w:tr w:rsidR="0030410E" w14:paraId="2FD9B1C3" w14:textId="77777777">
        <w:trPr>
          <w:trHeight w:val="988"/>
        </w:trPr>
        <w:tc>
          <w:tcPr>
            <w:tcW w:w="9917" w:type="dxa"/>
          </w:tcPr>
          <w:p w14:paraId="59A8770D" w14:textId="77777777" w:rsidR="0030410E" w:rsidRDefault="008C0056">
            <w:pPr>
              <w:pStyle w:val="TableParagraph"/>
              <w:ind w:left="398" w:firstLine="0"/>
              <w:rPr>
                <w:sz w:val="20"/>
              </w:rPr>
            </w:pPr>
            <w:r>
              <w:rPr>
                <w:sz w:val="20"/>
              </w:rPr>
              <w:t>Ability to design the radio transmission network with</w:t>
            </w:r>
          </w:p>
          <w:p w14:paraId="2EEC071D" w14:textId="49E0CE0E" w:rsidR="0030410E" w:rsidRDefault="008C0056">
            <w:pPr>
              <w:pStyle w:val="TableParagraph"/>
              <w:spacing w:before="52"/>
              <w:ind w:firstLine="0"/>
              <w:rPr>
                <w:sz w:val="20"/>
              </w:rPr>
            </w:pPr>
            <w:r>
              <w:rPr>
                <w:sz w:val="20"/>
              </w:rPr>
              <w:t>169 MHz frequency between meters and concentrators</w:t>
            </w:r>
          </w:p>
        </w:tc>
      </w:tr>
      <w:tr w:rsidR="0030410E" w14:paraId="0E980033" w14:textId="77777777">
        <w:trPr>
          <w:trHeight w:val="988"/>
        </w:trPr>
        <w:tc>
          <w:tcPr>
            <w:tcW w:w="9917" w:type="dxa"/>
          </w:tcPr>
          <w:p w14:paraId="4D855198" w14:textId="77777777" w:rsidR="0030410E" w:rsidRDefault="008C0056">
            <w:pPr>
              <w:pStyle w:val="TableParagraph"/>
              <w:ind w:left="398" w:firstLine="0"/>
              <w:rPr>
                <w:sz w:val="20"/>
              </w:rPr>
            </w:pPr>
            <w:r>
              <w:rPr>
                <w:sz w:val="20"/>
              </w:rPr>
              <w:t>Ability to supply the concentrators</w:t>
            </w:r>
          </w:p>
        </w:tc>
      </w:tr>
      <w:tr w:rsidR="0030410E" w14:paraId="24E723E1" w14:textId="77777777">
        <w:trPr>
          <w:trHeight w:val="993"/>
        </w:trPr>
        <w:tc>
          <w:tcPr>
            <w:tcW w:w="9917" w:type="dxa"/>
          </w:tcPr>
          <w:p w14:paraId="784C5F0B" w14:textId="77777777" w:rsidR="0030410E" w:rsidRDefault="008C0056">
            <w:pPr>
              <w:pStyle w:val="TableParagraph"/>
              <w:spacing w:before="68"/>
              <w:ind w:left="398" w:firstLine="0"/>
              <w:rPr>
                <w:sz w:val="20"/>
              </w:rPr>
            </w:pPr>
            <w:r>
              <w:rPr>
                <w:sz w:val="20"/>
              </w:rPr>
              <w:t>Ability to install the concentrators</w:t>
            </w:r>
          </w:p>
        </w:tc>
      </w:tr>
      <w:tr w:rsidR="0030410E" w14:paraId="1F442EAF" w14:textId="77777777">
        <w:trPr>
          <w:trHeight w:val="988"/>
        </w:trPr>
        <w:tc>
          <w:tcPr>
            <w:tcW w:w="9917" w:type="dxa"/>
          </w:tcPr>
          <w:p w14:paraId="52584461" w14:textId="77777777" w:rsidR="0030410E" w:rsidRDefault="008C0056">
            <w:pPr>
              <w:pStyle w:val="TableParagraph"/>
              <w:spacing w:line="295" w:lineRule="auto"/>
              <w:rPr>
                <w:sz w:val="20"/>
              </w:rPr>
            </w:pPr>
            <w:r>
              <w:rPr>
                <w:sz w:val="20"/>
              </w:rPr>
              <w:t>Ability to activate the meters for connection with the AMM/MDM (SAC) platform of Italgas or the concentrator</w:t>
            </w:r>
          </w:p>
        </w:tc>
      </w:tr>
    </w:tbl>
    <w:p w14:paraId="15BFA334" w14:textId="77777777" w:rsidR="0030410E" w:rsidRDefault="0030410E">
      <w:pPr>
        <w:spacing w:line="295" w:lineRule="auto"/>
        <w:rPr>
          <w:sz w:val="20"/>
        </w:rPr>
        <w:sectPr w:rsidR="0030410E">
          <w:type w:val="continuous"/>
          <w:pgSz w:w="11900" w:h="16840"/>
          <w:pgMar w:top="1400" w:right="600" w:bottom="1195"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7"/>
      </w:tblGrid>
      <w:tr w:rsidR="0030410E" w14:paraId="28EBFEDD" w14:textId="77777777">
        <w:trPr>
          <w:trHeight w:val="993"/>
        </w:trPr>
        <w:tc>
          <w:tcPr>
            <w:tcW w:w="9917" w:type="dxa"/>
          </w:tcPr>
          <w:p w14:paraId="73E4BB22" w14:textId="77777777" w:rsidR="0030410E" w:rsidRDefault="008C0056">
            <w:pPr>
              <w:pStyle w:val="TableParagraph"/>
              <w:spacing w:line="295" w:lineRule="auto"/>
              <w:rPr>
                <w:sz w:val="20"/>
              </w:rPr>
            </w:pPr>
            <w:r>
              <w:rPr>
                <w:sz w:val="20"/>
              </w:rPr>
              <w:lastRenderedPageBreak/>
              <w:t>Ability to activate the concentrators for transmission to the AMM/MDM (SAC) platform of Italgas</w:t>
            </w:r>
          </w:p>
        </w:tc>
      </w:tr>
      <w:tr w:rsidR="0030410E" w14:paraId="29C735EC" w14:textId="77777777">
        <w:trPr>
          <w:trHeight w:val="988"/>
        </w:trPr>
        <w:tc>
          <w:tcPr>
            <w:tcW w:w="9917" w:type="dxa"/>
          </w:tcPr>
          <w:p w14:paraId="009D3357" w14:textId="77777777" w:rsidR="0030410E" w:rsidRDefault="008C0056">
            <w:pPr>
              <w:pStyle w:val="TableParagraph"/>
              <w:spacing w:line="290" w:lineRule="auto"/>
              <w:rPr>
                <w:sz w:val="20"/>
              </w:rPr>
            </w:pPr>
            <w:r>
              <w:rPr>
                <w:sz w:val="20"/>
              </w:rPr>
              <w:t>Ability to perform extraordinary maintenance in the field, for the equipment supplied</w:t>
            </w:r>
          </w:p>
        </w:tc>
      </w:tr>
      <w:tr w:rsidR="0030410E" w14:paraId="0B3B6088" w14:textId="77777777">
        <w:trPr>
          <w:trHeight w:val="988"/>
        </w:trPr>
        <w:tc>
          <w:tcPr>
            <w:tcW w:w="9917" w:type="dxa"/>
          </w:tcPr>
          <w:p w14:paraId="5A6C63BE" w14:textId="77777777" w:rsidR="0030410E" w:rsidRDefault="008C0056">
            <w:pPr>
              <w:pStyle w:val="TableParagraph"/>
              <w:spacing w:line="295" w:lineRule="auto"/>
              <w:rPr>
                <w:sz w:val="20"/>
              </w:rPr>
            </w:pPr>
            <w:r>
              <w:rPr>
                <w:sz w:val="20"/>
              </w:rPr>
              <w:t>You declare that the meters supplied are easy to update so that they comply with the requirements of interoperability/interchangeability</w:t>
            </w:r>
          </w:p>
        </w:tc>
      </w:tr>
    </w:tbl>
    <w:p w14:paraId="7FF2FDCB" w14:textId="77777777" w:rsidR="0030410E" w:rsidRDefault="0030410E">
      <w:pPr>
        <w:pStyle w:val="Corpotesto"/>
        <w:spacing w:before="9"/>
        <w:rPr>
          <w:b/>
          <w:sz w:val="28"/>
        </w:rPr>
      </w:pPr>
    </w:p>
    <w:p w14:paraId="27FF6463" w14:textId="77777777" w:rsidR="0030410E" w:rsidRDefault="008C0056">
      <w:pPr>
        <w:spacing w:before="101"/>
        <w:ind w:left="400"/>
        <w:rPr>
          <w:b/>
          <w:sz w:val="20"/>
        </w:rPr>
      </w:pPr>
      <w:r>
        <w:rPr>
          <w:sz w:val="20"/>
        </w:rPr>
        <w:t xml:space="preserve">- </w:t>
      </w:r>
      <w:r>
        <w:rPr>
          <w:b/>
          <w:sz w:val="20"/>
        </w:rPr>
        <w:t>HSEQ requirements:</w:t>
      </w:r>
    </w:p>
    <w:p w14:paraId="0BBAE563" w14:textId="77777777" w:rsidR="0030410E" w:rsidRDefault="0030410E">
      <w:pPr>
        <w:pStyle w:val="Corpotesto"/>
        <w:spacing w:before="7"/>
        <w:rPr>
          <w:b/>
          <w:sz w:val="29"/>
        </w:rPr>
      </w:pPr>
    </w:p>
    <w:p w14:paraId="1BFEBC04" w14:textId="77777777" w:rsidR="0030410E" w:rsidRDefault="008C0056">
      <w:pPr>
        <w:pStyle w:val="Paragrafoelenco"/>
        <w:numPr>
          <w:ilvl w:val="0"/>
          <w:numId w:val="1"/>
        </w:numPr>
        <w:tabs>
          <w:tab w:val="left" w:pos="820"/>
          <w:tab w:val="left" w:pos="821"/>
        </w:tabs>
        <w:ind w:left="820" w:hanging="425"/>
        <w:rPr>
          <w:sz w:val="20"/>
        </w:rPr>
      </w:pPr>
      <w:r>
        <w:rPr>
          <w:sz w:val="20"/>
        </w:rPr>
        <w:t>ISO 9001 certification (Quality Management System)</w:t>
      </w:r>
    </w:p>
    <w:p w14:paraId="167FB002" w14:textId="77777777" w:rsidR="0030410E" w:rsidRDefault="008C0056">
      <w:pPr>
        <w:pStyle w:val="Paragrafoelenco"/>
        <w:numPr>
          <w:ilvl w:val="0"/>
          <w:numId w:val="1"/>
        </w:numPr>
        <w:tabs>
          <w:tab w:val="left" w:pos="820"/>
          <w:tab w:val="left" w:pos="821"/>
        </w:tabs>
        <w:ind w:left="820" w:hanging="425"/>
        <w:rPr>
          <w:sz w:val="20"/>
        </w:rPr>
      </w:pPr>
      <w:r>
        <w:rPr>
          <w:sz w:val="20"/>
        </w:rPr>
        <w:t>ISO 14001 certification (Environmental Management System)</w:t>
      </w:r>
    </w:p>
    <w:p w14:paraId="3B900C4D" w14:textId="77777777" w:rsidR="0030410E" w:rsidRDefault="0030410E">
      <w:pPr>
        <w:pStyle w:val="Corpotesto"/>
        <w:spacing w:before="9"/>
        <w:rPr>
          <w:sz w:val="19"/>
        </w:rPr>
      </w:pPr>
    </w:p>
    <w:p w14:paraId="2034BC11" w14:textId="77777777" w:rsidR="0030410E" w:rsidRDefault="008C0056">
      <w:pPr>
        <w:pStyle w:val="Paragrafoelenco"/>
        <w:numPr>
          <w:ilvl w:val="0"/>
          <w:numId w:val="1"/>
        </w:numPr>
        <w:tabs>
          <w:tab w:val="left" w:pos="821"/>
        </w:tabs>
        <w:spacing w:line="242" w:lineRule="auto"/>
        <w:ind w:right="100" w:firstLine="0"/>
        <w:jc w:val="both"/>
        <w:rPr>
          <w:sz w:val="20"/>
        </w:rPr>
      </w:pPr>
      <w:r>
        <w:rPr>
          <w:sz w:val="20"/>
        </w:rPr>
        <w:t>In the absence of a 14001 or EMAS certification, a statement declaring that procedures are in place for the identification, management and control of environmental aspects</w:t>
      </w:r>
    </w:p>
    <w:p w14:paraId="221FA6B4" w14:textId="77777777" w:rsidR="0030410E" w:rsidRDefault="0030410E">
      <w:pPr>
        <w:pStyle w:val="Corpotesto"/>
        <w:spacing w:before="5"/>
        <w:rPr>
          <w:sz w:val="19"/>
        </w:rPr>
      </w:pPr>
    </w:p>
    <w:p w14:paraId="334B08A7" w14:textId="77777777" w:rsidR="0030410E" w:rsidRDefault="008C0056">
      <w:pPr>
        <w:pStyle w:val="Paragrafoelenco"/>
        <w:numPr>
          <w:ilvl w:val="0"/>
          <w:numId w:val="1"/>
        </w:numPr>
        <w:tabs>
          <w:tab w:val="left" w:pos="820"/>
          <w:tab w:val="left" w:pos="821"/>
        </w:tabs>
        <w:spacing w:before="1"/>
        <w:ind w:left="820" w:hanging="425"/>
        <w:rPr>
          <w:sz w:val="20"/>
        </w:rPr>
      </w:pPr>
      <w:r>
        <w:rPr>
          <w:sz w:val="20"/>
        </w:rPr>
        <w:t>ISO 45001 Certification (Health and Safety Management System)</w:t>
      </w:r>
    </w:p>
    <w:p w14:paraId="6097D086" w14:textId="77777777" w:rsidR="0030410E" w:rsidRDefault="008C0056">
      <w:pPr>
        <w:pStyle w:val="Paragrafoelenco"/>
        <w:numPr>
          <w:ilvl w:val="0"/>
          <w:numId w:val="1"/>
        </w:numPr>
        <w:tabs>
          <w:tab w:val="left" w:pos="821"/>
        </w:tabs>
        <w:spacing w:line="244" w:lineRule="auto"/>
        <w:ind w:right="101" w:firstLine="0"/>
        <w:jc w:val="both"/>
        <w:rPr>
          <w:sz w:val="20"/>
        </w:rPr>
      </w:pPr>
      <w:r>
        <w:rPr>
          <w:sz w:val="20"/>
        </w:rPr>
        <w:t>In the absence of an ISO 45001 certification, a statement declaring that procedures are in place to manage and control occupational health and safety aspects.</w:t>
      </w:r>
    </w:p>
    <w:p w14:paraId="3B278710" w14:textId="77777777" w:rsidR="0030410E" w:rsidRDefault="0030410E">
      <w:pPr>
        <w:pStyle w:val="Corpotesto"/>
        <w:rPr>
          <w:sz w:val="22"/>
        </w:rPr>
      </w:pPr>
    </w:p>
    <w:p w14:paraId="7675373E" w14:textId="77777777" w:rsidR="0030410E" w:rsidRDefault="0030410E">
      <w:pPr>
        <w:pStyle w:val="Corpotesto"/>
        <w:spacing w:before="7"/>
        <w:rPr>
          <w:sz w:val="17"/>
        </w:rPr>
      </w:pPr>
    </w:p>
    <w:p w14:paraId="09D53BD7" w14:textId="77777777" w:rsidR="0030410E" w:rsidRDefault="008C0056">
      <w:pPr>
        <w:pStyle w:val="Corpotesto"/>
        <w:spacing w:line="295" w:lineRule="auto"/>
        <w:ind w:left="410" w:right="100" w:hanging="10"/>
        <w:jc w:val="both"/>
      </w:pPr>
      <w:r>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54655363" w14:textId="77777777" w:rsidR="0030410E" w:rsidRDefault="0030410E">
      <w:pPr>
        <w:pStyle w:val="Corpotesto"/>
        <w:rPr>
          <w:sz w:val="22"/>
        </w:rPr>
      </w:pPr>
    </w:p>
    <w:p w14:paraId="4E3CE437" w14:textId="77777777" w:rsidR="0030410E" w:rsidRDefault="0030410E">
      <w:pPr>
        <w:pStyle w:val="Corpotesto"/>
        <w:spacing w:before="9"/>
        <w:rPr>
          <w:sz w:val="22"/>
        </w:rPr>
      </w:pPr>
    </w:p>
    <w:p w14:paraId="110BF75D" w14:textId="77777777" w:rsidR="0030410E" w:rsidRDefault="008C0056">
      <w:pPr>
        <w:ind w:left="245"/>
        <w:rPr>
          <w:b/>
          <w:sz w:val="20"/>
        </w:rPr>
      </w:pPr>
      <w:r>
        <w:rPr>
          <w:b/>
          <w:sz w:val="20"/>
        </w:rPr>
        <w:t>III.1.9) Procedures for checking each condition</w:t>
      </w:r>
    </w:p>
    <w:p w14:paraId="131D550C" w14:textId="77777777" w:rsidR="0030410E" w:rsidRDefault="0030410E">
      <w:pPr>
        <w:pStyle w:val="Corpotesto"/>
        <w:rPr>
          <w:b/>
          <w:sz w:val="27"/>
        </w:rPr>
      </w:pPr>
    </w:p>
    <w:p w14:paraId="675471EB" w14:textId="77777777" w:rsidR="0030410E" w:rsidRDefault="008C0056">
      <w:pPr>
        <w:pStyle w:val="Corpotesto"/>
        <w:spacing w:before="1" w:line="295" w:lineRule="auto"/>
        <w:ind w:left="410" w:right="100" w:hanging="10"/>
        <w:jc w:val="both"/>
      </w:pPr>
      <w:r>
        <w:t>In order to access the qualification process for the Product Group covered by this qualification system, candidate suppliers must fulfil all the specific requirements (economic-financial, technical, HSEQ) listed above.</w:t>
      </w:r>
    </w:p>
    <w:p w14:paraId="2DA325EE" w14:textId="77777777" w:rsidR="0030410E" w:rsidRDefault="008C0056">
      <w:pPr>
        <w:pStyle w:val="Corpotesto"/>
        <w:spacing w:before="4" w:line="295" w:lineRule="auto"/>
        <w:ind w:left="410" w:right="100" w:hanging="10"/>
        <w:jc w:val="both"/>
      </w:pPr>
      <w:r>
        <w:t xml:space="preserve">Evidence of fulfilment of the specific requirements (economic-financial, technical, HSEQ) is provided by answering and confirming the questions in the qualification questionnaire. </w:t>
      </w:r>
    </w:p>
    <w:sectPr w:rsidR="0030410E">
      <w:type w:val="continuous"/>
      <w:pgSz w:w="11900" w:h="16840"/>
      <w:pgMar w:top="1400" w:right="6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47122A"/>
    <w:multiLevelType w:val="hybridMultilevel"/>
    <w:tmpl w:val="2760075A"/>
    <w:lvl w:ilvl="0" w:tplc="5B262E10">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5FEC7852">
      <w:numFmt w:val="bullet"/>
      <w:lvlText w:val="•"/>
      <w:lvlJc w:val="left"/>
      <w:pPr>
        <w:ind w:left="1388" w:hanging="424"/>
      </w:pPr>
      <w:rPr>
        <w:rFonts w:hint="default"/>
        <w:lang w:val="it-IT" w:eastAsia="en-US" w:bidi="ar-SA"/>
      </w:rPr>
    </w:lvl>
    <w:lvl w:ilvl="2" w:tplc="57F81DDA">
      <w:numFmt w:val="bullet"/>
      <w:lvlText w:val="•"/>
      <w:lvlJc w:val="left"/>
      <w:pPr>
        <w:ind w:left="2376" w:hanging="424"/>
      </w:pPr>
      <w:rPr>
        <w:rFonts w:hint="default"/>
        <w:lang w:val="it-IT" w:eastAsia="en-US" w:bidi="ar-SA"/>
      </w:rPr>
    </w:lvl>
    <w:lvl w:ilvl="3" w:tplc="BE44C986">
      <w:numFmt w:val="bullet"/>
      <w:lvlText w:val="•"/>
      <w:lvlJc w:val="left"/>
      <w:pPr>
        <w:ind w:left="3364" w:hanging="424"/>
      </w:pPr>
      <w:rPr>
        <w:rFonts w:hint="default"/>
        <w:lang w:val="it-IT" w:eastAsia="en-US" w:bidi="ar-SA"/>
      </w:rPr>
    </w:lvl>
    <w:lvl w:ilvl="4" w:tplc="A85681E0">
      <w:numFmt w:val="bullet"/>
      <w:lvlText w:val="•"/>
      <w:lvlJc w:val="left"/>
      <w:pPr>
        <w:ind w:left="4352" w:hanging="424"/>
      </w:pPr>
      <w:rPr>
        <w:rFonts w:hint="default"/>
        <w:lang w:val="it-IT" w:eastAsia="en-US" w:bidi="ar-SA"/>
      </w:rPr>
    </w:lvl>
    <w:lvl w:ilvl="5" w:tplc="D70EE328">
      <w:numFmt w:val="bullet"/>
      <w:lvlText w:val="•"/>
      <w:lvlJc w:val="left"/>
      <w:pPr>
        <w:ind w:left="5340" w:hanging="424"/>
      </w:pPr>
      <w:rPr>
        <w:rFonts w:hint="default"/>
        <w:lang w:val="it-IT" w:eastAsia="en-US" w:bidi="ar-SA"/>
      </w:rPr>
    </w:lvl>
    <w:lvl w:ilvl="6" w:tplc="F26EE5A0">
      <w:numFmt w:val="bullet"/>
      <w:lvlText w:val="•"/>
      <w:lvlJc w:val="left"/>
      <w:pPr>
        <w:ind w:left="6328" w:hanging="424"/>
      </w:pPr>
      <w:rPr>
        <w:rFonts w:hint="default"/>
        <w:lang w:val="it-IT" w:eastAsia="en-US" w:bidi="ar-SA"/>
      </w:rPr>
    </w:lvl>
    <w:lvl w:ilvl="7" w:tplc="E69A691A">
      <w:numFmt w:val="bullet"/>
      <w:lvlText w:val="•"/>
      <w:lvlJc w:val="left"/>
      <w:pPr>
        <w:ind w:left="7316" w:hanging="424"/>
      </w:pPr>
      <w:rPr>
        <w:rFonts w:hint="default"/>
        <w:lang w:val="it-IT" w:eastAsia="en-US" w:bidi="ar-SA"/>
      </w:rPr>
    </w:lvl>
    <w:lvl w:ilvl="8" w:tplc="8634E7D8">
      <w:numFmt w:val="bullet"/>
      <w:lvlText w:val="•"/>
      <w:lvlJc w:val="left"/>
      <w:pPr>
        <w:ind w:left="8304" w:hanging="424"/>
      </w:pPr>
      <w:rPr>
        <w:rFonts w:hint="default"/>
        <w:lang w:val="it-IT" w:eastAsia="en-US" w:bidi="ar-SA"/>
      </w:rPr>
    </w:lvl>
  </w:abstractNum>
  <w:abstractNum w:abstractNumId="1" w15:restartNumberingAfterBreak="0">
    <w:nsid w:val="7E543FA9"/>
    <w:multiLevelType w:val="multilevel"/>
    <w:tmpl w:val="E29E790E"/>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148" w:hanging="1298"/>
      </w:pPr>
      <w:rPr>
        <w:rFonts w:hint="default"/>
        <w:lang w:val="it-IT" w:eastAsia="en-US" w:bidi="ar-SA"/>
      </w:rPr>
    </w:lvl>
    <w:lvl w:ilvl="4">
      <w:numFmt w:val="bullet"/>
      <w:lvlText w:val="•"/>
      <w:lvlJc w:val="left"/>
      <w:pPr>
        <w:ind w:left="5024" w:hanging="1298"/>
      </w:pPr>
      <w:rPr>
        <w:rFonts w:hint="default"/>
        <w:lang w:val="it-IT" w:eastAsia="en-US" w:bidi="ar-SA"/>
      </w:rPr>
    </w:lvl>
    <w:lvl w:ilvl="5">
      <w:numFmt w:val="bullet"/>
      <w:lvlText w:val="•"/>
      <w:lvlJc w:val="left"/>
      <w:pPr>
        <w:ind w:left="5900" w:hanging="1298"/>
      </w:pPr>
      <w:rPr>
        <w:rFonts w:hint="default"/>
        <w:lang w:val="it-IT" w:eastAsia="en-US" w:bidi="ar-SA"/>
      </w:rPr>
    </w:lvl>
    <w:lvl w:ilvl="6">
      <w:numFmt w:val="bullet"/>
      <w:lvlText w:val="•"/>
      <w:lvlJc w:val="left"/>
      <w:pPr>
        <w:ind w:left="6776" w:hanging="1298"/>
      </w:pPr>
      <w:rPr>
        <w:rFonts w:hint="default"/>
        <w:lang w:val="it-IT" w:eastAsia="en-US" w:bidi="ar-SA"/>
      </w:rPr>
    </w:lvl>
    <w:lvl w:ilvl="7">
      <w:numFmt w:val="bullet"/>
      <w:lvlText w:val="•"/>
      <w:lvlJc w:val="left"/>
      <w:pPr>
        <w:ind w:left="7652" w:hanging="1298"/>
      </w:pPr>
      <w:rPr>
        <w:rFonts w:hint="default"/>
        <w:lang w:val="it-IT" w:eastAsia="en-US" w:bidi="ar-SA"/>
      </w:rPr>
    </w:lvl>
    <w:lvl w:ilvl="8">
      <w:numFmt w:val="bullet"/>
      <w:lvlText w:val="•"/>
      <w:lvlJc w:val="left"/>
      <w:pPr>
        <w:ind w:left="8528" w:hanging="1298"/>
      </w:pPr>
      <w:rPr>
        <w:rFonts w:hint="default"/>
        <w:lang w:val="it-IT" w:eastAsia="en-US" w:bidi="ar-SA"/>
      </w:rPr>
    </w:lvl>
  </w:abstractNum>
  <w:num w:numId="1" w16cid:durableId="1581325659">
    <w:abstractNumId w:val="0"/>
  </w:num>
  <w:num w:numId="2" w16cid:durableId="2018534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30410E"/>
    <w:rsid w:val="0030410E"/>
    <w:rsid w:val="008C0056"/>
    <w:rsid w:val="00BD6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3BE04"/>
  <w15:docId w15:val="{A52815EB-21E1-4D8F-BD7E-C3EDCB069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line="226" w:lineRule="exact"/>
      <w:ind w:left="820" w:hanging="425"/>
    </w:pPr>
  </w:style>
  <w:style w:type="paragraph" w:customStyle="1" w:styleId="TableParagraph">
    <w:name w:val="Table Paragraph"/>
    <w:basedOn w:val="Normale"/>
    <w:uiPriority w:val="1"/>
    <w:qFormat/>
    <w:pPr>
      <w:spacing w:before="63"/>
      <w:ind w:left="408" w:hanging="10"/>
    </w:pPr>
  </w:style>
  <w:style w:type="character" w:styleId="Collegamentoipertestuale">
    <w:name w:val="Hyperlink"/>
    <w:basedOn w:val="Carpredefinitoparagrafo"/>
    <w:uiPriority w:val="99"/>
    <w:unhideWhenUsed/>
    <w:rsid w:val="00BD65CA"/>
    <w:rPr>
      <w:color w:val="0000FF" w:themeColor="hyperlink"/>
      <w:u w:val="single"/>
    </w:rPr>
  </w:style>
  <w:style w:type="character" w:styleId="Menzionenonrisolta">
    <w:name w:val="Unresolved Mention"/>
    <w:basedOn w:val="Carpredefinitoparagrafo"/>
    <w:uiPriority w:val="99"/>
    <w:semiHidden/>
    <w:unhideWhenUsed/>
    <w:rsid w:val="00BD6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780</Words>
  <Characters>4447</Characters>
  <Application>Microsoft Office Word</Application>
  <DocSecurity>0</DocSecurity>
  <Lines>37</Lines>
  <Paragraphs>10</Paragraphs>
  <ScaleCrop>false</ScaleCrop>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Allegato al sistema 2023-OJS062-185319.docx</dc:title>
  <cp:lastModifiedBy>Chiara Lasen</cp:lastModifiedBy>
  <cp:revision>3</cp:revision>
  <dcterms:created xsi:type="dcterms:W3CDTF">2023-05-25T09:16:00Z</dcterms:created>
  <dcterms:modified xsi:type="dcterms:W3CDTF">2023-09-15T17:00:00Z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2023-03-28T00:00:00Z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13.2.1 (Build 22D68) Quartz PDFContext</vt:lpwstr>
  </property>
</Properties>
</file>